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ind w:firstLine="1360" w:firstLineChars="400"/>
        <w:jc w:val="both"/>
        <w:rPr>
          <w:rFonts w:hint="eastAsia" w:ascii="黑体" w:hAnsi="黑体" w:eastAsia="黑体"/>
          <w:bCs/>
          <w:spacing w:val="2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pacing w:val="20"/>
          <w:sz w:val="30"/>
          <w:szCs w:val="30"/>
        </w:rPr>
        <w:t>南京特殊教育师范学院</w:t>
      </w:r>
      <w:bookmarkStart w:id="0" w:name="_GoBack"/>
      <w:r>
        <w:rPr>
          <w:rFonts w:hint="eastAsia" w:ascii="黑体" w:hAnsi="黑体" w:eastAsia="黑体"/>
          <w:bCs/>
          <w:spacing w:val="20"/>
          <w:sz w:val="30"/>
          <w:szCs w:val="30"/>
          <w:lang w:val="en-US" w:eastAsia="zh-CN"/>
        </w:rPr>
        <w:t>本科课程考核</w:t>
      </w:r>
      <w:bookmarkEnd w:id="0"/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hint="eastAsia" w:ascii="黑体" w:hAnsi="黑体" w:eastAsia="黑体"/>
          <w:bCs/>
          <w:spacing w:val="20"/>
          <w:sz w:val="30"/>
          <w:szCs w:val="30"/>
        </w:rPr>
      </w:pPr>
      <w:r>
        <w:rPr>
          <w:rFonts w:hint="eastAsia" w:ascii="黑体" w:hAnsi="黑体" w:eastAsia="黑体"/>
          <w:bCs/>
          <w:spacing w:val="20"/>
          <w:sz w:val="30"/>
          <w:szCs w:val="30"/>
        </w:rPr>
        <w:t>质量评估指标体系</w:t>
      </w:r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hint="eastAsia" w:ascii="黑体" w:hAnsi="黑体" w:eastAsia="黑体"/>
          <w:bCs/>
          <w:spacing w:val="20"/>
          <w:sz w:val="30"/>
          <w:szCs w:val="30"/>
        </w:rPr>
      </w:pPr>
    </w:p>
    <w:tbl>
      <w:tblPr>
        <w:tblStyle w:val="2"/>
        <w:tblW w:w="9120" w:type="dxa"/>
        <w:tblInd w:w="-43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44"/>
        <w:gridCol w:w="5083"/>
        <w:gridCol w:w="761"/>
        <w:gridCol w:w="7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指标内涵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试题质量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命题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命题规范，符合考试大纲要求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题量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题量适当，题型多样，至少设计五种题型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难度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难易程度恰当，试卷基础知识与综合知识题目分值比例恰当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覆盖面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覆盖面大，试题覆盖课程教学的基本内容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卷面质量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表述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试卷文字表述、插图正确、工整、清楚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试卷题目赋值无错误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试卷批阅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评分标准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评分标准科学、合理、规范。每套试题均有详细参考答案与评分标准、客观性试题答案确定唯一，主观性试题答案准确、全面、简洁，答案无错误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  <w:highlight w:val="yellow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阅卷评分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阅卷评分标准严格、公正、无误。一律用红笔进行阅卷，统一使用计正分方式计分，计分规范，无错判、漏判现象，无计分、总分错误现象，无随意加分、减分或更改分数现象；试卷评阅人签字规范、试卷评阅中改动处有评阅教师的签名、采用流水评阅的方式、试卷评阅有阅卷人和复核人签名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试卷分析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试卷分析具体、准确、到位。对试卷所考察知识点的范围、难度，学生出错率高的共性问题进行总结，对教学中应注意的问题有详细、针对性的改进措施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试卷管理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审  核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试卷的命题审核审批手续齐全，要有审核人和学院的签名或盖章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装  订</w:t>
            </w:r>
          </w:p>
        </w:tc>
        <w:tc>
          <w:tcPr>
            <w:tcW w:w="508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试卷档案盒内装订的文件符合试卷装订规范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6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2022-04-19T06:44:03Z</dcterms:created>
  <dc:creator>Anna wan</dc:creator>
  <cp:lastModifiedBy>janetwan</cp:lastModifiedBy>
  <dcterms:modified xsi:type="dcterms:W3CDTF">2022-04-19T06:44:11Z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eyJoZGlkIjoiZWQ5NTE0MWZiNGVlNDRlMGJkODM2ZmIzYTgxMGM4N2QifQ==</vt:lpwstr>
  </property>
  <property fmtid="{D5CDD505-2E9C-101B-9397-08002B2CF9AE}" pid="4" name="ICV">
    <vt:lpwstr>04D742D0010D4C748FFE02CE2C7A66CC</vt:lpwstr>
  </property>
</Properties>
</file>